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01A1" w14:textId="77777777" w:rsidR="00DB29F2" w:rsidRPr="000B0A41" w:rsidRDefault="00000000">
      <w:pPr>
        <w:spacing w:after="307"/>
        <w:ind w:left="-140"/>
        <w:rPr>
          <w:szCs w:val="22"/>
        </w:rPr>
      </w:pPr>
      <w:r w:rsidRPr="000B0A41">
        <w:rPr>
          <w:noProof/>
          <w:szCs w:val="22"/>
        </w:rPr>
        <w:drawing>
          <wp:inline distT="0" distB="0" distL="0" distR="0" wp14:anchorId="41618D6D" wp14:editId="567B53E8">
            <wp:extent cx="1840738" cy="964565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0738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A41">
        <w:rPr>
          <w:szCs w:val="22"/>
        </w:rPr>
        <w:t xml:space="preserve"> </w:t>
      </w:r>
    </w:p>
    <w:p w14:paraId="4F5971ED" w14:textId="05D5B3FC" w:rsidR="00DB29F2" w:rsidRPr="000B0A41" w:rsidRDefault="00000000">
      <w:pPr>
        <w:spacing w:after="234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 xml:space="preserve">                                 </w:t>
      </w:r>
      <w:r w:rsidR="000B0A41">
        <w:rPr>
          <w:rFonts w:ascii="Times New Roman" w:eastAsia="Times New Roman" w:hAnsi="Times New Roman" w:cs="Times New Roman"/>
          <w:b/>
          <w:szCs w:val="22"/>
        </w:rPr>
        <w:t xml:space="preserve">                      </w:t>
      </w:r>
      <w:r w:rsidRPr="000B0A41">
        <w:rPr>
          <w:rFonts w:ascii="Times New Roman" w:eastAsia="Times New Roman" w:hAnsi="Times New Roman" w:cs="Times New Roman"/>
          <w:b/>
          <w:szCs w:val="22"/>
        </w:rPr>
        <w:t xml:space="preserve">   Landlord Pricing Structure </w:t>
      </w:r>
    </w:p>
    <w:p w14:paraId="35747547" w14:textId="77777777" w:rsidR="00DB29F2" w:rsidRPr="000B0A41" w:rsidRDefault="00000000">
      <w:pPr>
        <w:pStyle w:val="Heading1"/>
        <w:spacing w:after="176"/>
        <w:ind w:left="-5"/>
        <w:rPr>
          <w:sz w:val="22"/>
          <w:szCs w:val="22"/>
        </w:rPr>
      </w:pPr>
      <w:r w:rsidRPr="000B0A41">
        <w:rPr>
          <w:sz w:val="22"/>
          <w:szCs w:val="22"/>
        </w:rPr>
        <w:t xml:space="preserve">Residential Lettings </w:t>
      </w:r>
    </w:p>
    <w:p w14:paraId="4FC3F903" w14:textId="77777777" w:rsidR="00DB29F2" w:rsidRPr="000B0A41" w:rsidRDefault="00000000">
      <w:pPr>
        <w:spacing w:after="269" w:line="250" w:lineRule="auto"/>
        <w:ind w:left="10" w:hanging="1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Fully Managed Service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C34C839" w14:textId="77777777" w:rsidR="00DB29F2" w:rsidRPr="000B0A41" w:rsidRDefault="00000000">
      <w:pPr>
        <w:numPr>
          <w:ilvl w:val="0"/>
          <w:numId w:val="1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Management Fee: </w:t>
      </w:r>
      <w:r w:rsidRPr="000B0A41">
        <w:rPr>
          <w:rFonts w:ascii="Times New Roman" w:eastAsia="Times New Roman" w:hAnsi="Times New Roman" w:cs="Times New Roman"/>
          <w:b/>
          <w:szCs w:val="22"/>
        </w:rPr>
        <w:t>12% of your monthly rental income (including VAT) per month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FF20E44" w14:textId="77777777" w:rsidR="00DB29F2" w:rsidRPr="000B0A41" w:rsidRDefault="00000000">
      <w:pPr>
        <w:numPr>
          <w:ilvl w:val="0"/>
          <w:numId w:val="1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Set-Up Fee: </w:t>
      </w:r>
      <w:r w:rsidRPr="000B0A41">
        <w:rPr>
          <w:rFonts w:ascii="Times New Roman" w:eastAsia="Times New Roman" w:hAnsi="Times New Roman" w:cs="Times New Roman"/>
          <w:b/>
          <w:szCs w:val="22"/>
        </w:rPr>
        <w:t>£570 (including VAT)</w:t>
      </w:r>
      <w:r w:rsidRPr="000B0A41">
        <w:rPr>
          <w:rFonts w:ascii="Times New Roman" w:eastAsia="Times New Roman" w:hAnsi="Times New Roman" w:cs="Times New Roman"/>
          <w:szCs w:val="22"/>
        </w:rPr>
        <w:t xml:space="preserve"> – one-off </w:t>
      </w:r>
    </w:p>
    <w:p w14:paraId="041A4590" w14:textId="77777777" w:rsidR="00DB29F2" w:rsidRPr="000B0A41" w:rsidRDefault="00000000">
      <w:pPr>
        <w:numPr>
          <w:ilvl w:val="0"/>
          <w:numId w:val="1"/>
        </w:numPr>
        <w:spacing w:after="320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Renewal Fee: </w:t>
      </w:r>
      <w:r w:rsidRPr="000B0A41">
        <w:rPr>
          <w:rFonts w:ascii="Times New Roman" w:eastAsia="Times New Roman" w:hAnsi="Times New Roman" w:cs="Times New Roman"/>
          <w:b/>
          <w:szCs w:val="22"/>
        </w:rPr>
        <w:t>£240 (including VAT)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EEB465A" w14:textId="77777777" w:rsidR="00DB29F2" w:rsidRPr="000B0A41" w:rsidRDefault="00000000" w:rsidP="004F3B3A">
      <w:pPr>
        <w:spacing w:after="232"/>
        <w:rPr>
          <w:szCs w:val="22"/>
        </w:rPr>
      </w:pPr>
      <w:r w:rsidRPr="000B0A41">
        <w:rPr>
          <w:noProof/>
          <w:szCs w:val="22"/>
        </w:rPr>
        <mc:AlternateContent>
          <mc:Choice Requires="wpg">
            <w:drawing>
              <wp:inline distT="0" distB="0" distL="0" distR="0" wp14:anchorId="544EC5CB" wp14:editId="6D06E6C4">
                <wp:extent cx="6711696" cy="20193"/>
                <wp:effectExtent l="0" t="0" r="0" b="0"/>
                <wp:docPr id="1127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6" cy="20193"/>
                          <a:chOff x="0" y="0"/>
                          <a:chExt cx="6711696" cy="20193"/>
                        </a:xfrm>
                      </wpg:grpSpPr>
                      <wps:wsp>
                        <wps:cNvPr id="1379" name="Shape 1379"/>
                        <wps:cNvSpPr/>
                        <wps:spPr>
                          <a:xfrm>
                            <a:off x="0" y="0"/>
                            <a:ext cx="67100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045" h="19685">
                                <a:moveTo>
                                  <a:pt x="0" y="0"/>
                                </a:moveTo>
                                <a:lnTo>
                                  <a:pt x="6710045" y="0"/>
                                </a:lnTo>
                                <a:lnTo>
                                  <a:pt x="671004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048" y="381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6708648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0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708648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048" y="17145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6708648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" style="width:528.48pt;height:1.59003pt;mso-position-horizontal-relative:char;mso-position-vertical-relative:line" coordsize="67116,201">
                <v:shape id="Shape 1388" style="position:absolute;width:67100;height:196;left:0;top:0;" coordsize="6710045,19685" path="m0,0l6710045,0l6710045,19685l0,19685l0,0">
                  <v:stroke weight="0pt" endcap="flat" joinstyle="miter" miterlimit="10" on="false" color="#000000" opacity="0"/>
                  <v:fill on="true" color="#a0a0a0"/>
                </v:shape>
                <v:shape id="Shape 1389" style="position:absolute;width:91;height:91;left:0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90" style="position:absolute;width:67056;height:91;left:30;top:3;" coordsize="6705600,9144" path="m0,0l6705600,0l6705600,9144l0,9144l0,0">
                  <v:stroke weight="0pt" endcap="flat" joinstyle="miter" miterlimit="10" on="false" color="#000000" opacity="0"/>
                  <v:fill on="true" color="#a0a0a0"/>
                </v:shape>
                <v:shape id="Shape 1391" style="position:absolute;width:91;height:91;left:67086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392" style="position:absolute;width:91;height:137;left:0;top:3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393" style="position:absolute;width:91;height:137;left:67086;top:3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394" style="position:absolute;width:91;height:91;left:0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395" style="position:absolute;width:67056;height:91;left:30;top:171;" coordsize="6705600,9144" path="m0,0l6705600,0l6705600,9144l0,9144l0,0">
                  <v:stroke weight="0pt" endcap="flat" joinstyle="miter" miterlimit="10" on="false" color="#000000" opacity="0"/>
                  <v:fill on="true" color="#e3e3e3"/>
                </v:shape>
                <v:shape id="Shape 1396" style="position:absolute;width:91;height:91;left:67086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2F6EEDF" w14:textId="77777777" w:rsidR="00DB29F2" w:rsidRPr="000B0A41" w:rsidRDefault="00000000">
      <w:pPr>
        <w:pStyle w:val="Heading1"/>
        <w:ind w:left="-5"/>
        <w:rPr>
          <w:sz w:val="22"/>
          <w:szCs w:val="22"/>
        </w:rPr>
      </w:pPr>
      <w:r w:rsidRPr="000B0A41">
        <w:rPr>
          <w:sz w:val="22"/>
          <w:szCs w:val="22"/>
        </w:rPr>
        <w:t xml:space="preserve">HMO Lettings  </w:t>
      </w:r>
    </w:p>
    <w:p w14:paraId="7636A45F" w14:textId="77777777" w:rsidR="00DB29F2" w:rsidRPr="000B0A41" w:rsidRDefault="00000000">
      <w:pPr>
        <w:spacing w:after="269" w:line="250" w:lineRule="auto"/>
        <w:ind w:left="10" w:hanging="1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Fully Managed Service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94CB5AB" w14:textId="77777777" w:rsidR="00DB29F2" w:rsidRPr="000B0A41" w:rsidRDefault="00000000">
      <w:pPr>
        <w:numPr>
          <w:ilvl w:val="0"/>
          <w:numId w:val="2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Management Fee: </w:t>
      </w:r>
      <w:r w:rsidRPr="000B0A41">
        <w:rPr>
          <w:rFonts w:ascii="Times New Roman" w:eastAsia="Times New Roman" w:hAnsi="Times New Roman" w:cs="Times New Roman"/>
          <w:b/>
          <w:szCs w:val="22"/>
        </w:rPr>
        <w:t>14.4% of you monthly rental income (including VAT) per month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EE21CFC" w14:textId="77777777" w:rsidR="00DB29F2" w:rsidRPr="000B0A41" w:rsidRDefault="00000000">
      <w:pPr>
        <w:numPr>
          <w:ilvl w:val="0"/>
          <w:numId w:val="2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Set-Up Fee: </w:t>
      </w:r>
      <w:r w:rsidRPr="000B0A41">
        <w:rPr>
          <w:rFonts w:ascii="Times New Roman" w:eastAsia="Times New Roman" w:hAnsi="Times New Roman" w:cs="Times New Roman"/>
          <w:b/>
          <w:szCs w:val="22"/>
        </w:rPr>
        <w:t>£150 (including VAT) per room</w:t>
      </w:r>
      <w:r w:rsidRPr="000B0A41">
        <w:rPr>
          <w:rFonts w:ascii="Times New Roman" w:eastAsia="Times New Roman" w:hAnsi="Times New Roman" w:cs="Times New Roman"/>
          <w:szCs w:val="22"/>
        </w:rPr>
        <w:t xml:space="preserve"> – one-off </w:t>
      </w:r>
    </w:p>
    <w:p w14:paraId="437EF4C5" w14:textId="77777777" w:rsidR="00DB29F2" w:rsidRPr="000B0A41" w:rsidRDefault="00000000">
      <w:pPr>
        <w:numPr>
          <w:ilvl w:val="0"/>
          <w:numId w:val="2"/>
        </w:numPr>
        <w:spacing w:after="319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Renewal Fee: </w:t>
      </w:r>
      <w:r w:rsidRPr="000B0A41">
        <w:rPr>
          <w:rFonts w:ascii="Times New Roman" w:eastAsia="Times New Roman" w:hAnsi="Times New Roman" w:cs="Times New Roman"/>
          <w:b/>
          <w:szCs w:val="22"/>
        </w:rPr>
        <w:t>£90 (including VAT) per room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88101E7" w14:textId="77777777" w:rsidR="00DB29F2" w:rsidRPr="000B0A41" w:rsidRDefault="00000000">
      <w:pPr>
        <w:spacing w:after="232"/>
        <w:jc w:val="right"/>
        <w:rPr>
          <w:szCs w:val="22"/>
        </w:rPr>
      </w:pPr>
      <w:r w:rsidRPr="000B0A41">
        <w:rPr>
          <w:noProof/>
          <w:szCs w:val="22"/>
        </w:rPr>
        <mc:AlternateContent>
          <mc:Choice Requires="wpg">
            <w:drawing>
              <wp:inline distT="0" distB="0" distL="0" distR="0" wp14:anchorId="3CCFEE3B" wp14:editId="0FF31F2F">
                <wp:extent cx="6711696" cy="20447"/>
                <wp:effectExtent l="0" t="0" r="0" b="0"/>
                <wp:docPr id="1128" name="Group 1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6" cy="20447"/>
                          <a:chOff x="0" y="0"/>
                          <a:chExt cx="6711696" cy="20447"/>
                        </a:xfrm>
                      </wpg:grpSpPr>
                      <wps:wsp>
                        <wps:cNvPr id="1397" name="Shape 1397"/>
                        <wps:cNvSpPr/>
                        <wps:spPr>
                          <a:xfrm>
                            <a:off x="0" y="0"/>
                            <a:ext cx="67100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045" h="19685">
                                <a:moveTo>
                                  <a:pt x="0" y="0"/>
                                </a:moveTo>
                                <a:lnTo>
                                  <a:pt x="6710045" y="0"/>
                                </a:lnTo>
                                <a:lnTo>
                                  <a:pt x="671004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048" y="634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708648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6708648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3048" y="17399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708648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8" style="width:528.48pt;height:1.60999pt;mso-position-horizontal-relative:char;mso-position-vertical-relative:line" coordsize="67116,204">
                <v:shape id="Shape 1406" style="position:absolute;width:67100;height:196;left:0;top:0;" coordsize="6710045,19685" path="m0,0l6710045,0l6710045,19685l0,19685l0,0">
                  <v:stroke weight="0pt" endcap="flat" joinstyle="miter" miterlimit="10" on="false" color="#000000" opacity="0"/>
                  <v:fill on="true" color="#a0a0a0"/>
                </v:shape>
                <v:shape id="Shape 1407" style="position:absolute;width:91;height:91;left:0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08" style="position:absolute;width:67056;height:91;left:30;top:6;" coordsize="6705600,9144" path="m0,0l6705600,0l6705600,9144l0,9144l0,0">
                  <v:stroke weight="0pt" endcap="flat" joinstyle="miter" miterlimit="10" on="false" color="#000000" opacity="0"/>
                  <v:fill on="true" color="#a0a0a0"/>
                </v:shape>
                <v:shape id="Shape 1409" style="position:absolute;width:91;height:91;left:67086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10" style="position:absolute;width:91;height:137;left:0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411" style="position:absolute;width:91;height:137;left:67086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412" style="position:absolute;width:91;height:91;left:0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413" style="position:absolute;width:67056;height:91;left:30;top:173;" coordsize="6705600,9144" path="m0,0l6705600,0l6705600,9144l0,9144l0,0">
                  <v:stroke weight="0pt" endcap="flat" joinstyle="miter" miterlimit="10" on="false" color="#000000" opacity="0"/>
                  <v:fill on="true" color="#e3e3e3"/>
                </v:shape>
                <v:shape id="Shape 1414" style="position:absolute;width:91;height:91;left:67086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833010B" w14:textId="77777777" w:rsidR="00DB29F2" w:rsidRPr="000B0A41" w:rsidRDefault="00000000">
      <w:pPr>
        <w:pStyle w:val="Heading1"/>
        <w:ind w:left="-5"/>
        <w:rPr>
          <w:sz w:val="22"/>
          <w:szCs w:val="22"/>
        </w:rPr>
      </w:pPr>
      <w:r w:rsidRPr="000B0A41">
        <w:rPr>
          <w:sz w:val="22"/>
          <w:szCs w:val="22"/>
        </w:rPr>
        <w:t xml:space="preserve">Tenant Find Only Service </w:t>
      </w:r>
    </w:p>
    <w:p w14:paraId="27BBBBDE" w14:textId="77777777" w:rsidR="00DB29F2" w:rsidRPr="000B0A41" w:rsidRDefault="00000000">
      <w:pPr>
        <w:numPr>
          <w:ilvl w:val="0"/>
          <w:numId w:val="3"/>
        </w:numPr>
        <w:spacing w:after="0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Tenant Find Fee: </w:t>
      </w:r>
      <w:r w:rsidRPr="000B0A41">
        <w:rPr>
          <w:rFonts w:ascii="Times New Roman" w:eastAsia="Times New Roman" w:hAnsi="Times New Roman" w:cs="Times New Roman"/>
          <w:b/>
          <w:szCs w:val="22"/>
        </w:rPr>
        <w:t>96% (including VAT) of the first month’s rent</w:t>
      </w:r>
      <w:r w:rsidRPr="000B0A41">
        <w:rPr>
          <w:rFonts w:ascii="Times New Roman" w:eastAsia="Times New Roman" w:hAnsi="Times New Roman" w:cs="Times New Roman"/>
          <w:szCs w:val="22"/>
        </w:rPr>
        <w:t xml:space="preserve"> – one-off </w:t>
      </w:r>
    </w:p>
    <w:p w14:paraId="68230851" w14:textId="77777777" w:rsidR="00DB29F2" w:rsidRPr="000B0A41" w:rsidRDefault="00000000">
      <w:pPr>
        <w:numPr>
          <w:ilvl w:val="0"/>
          <w:numId w:val="3"/>
        </w:numPr>
        <w:spacing w:after="309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Renewal Fee: </w:t>
      </w:r>
      <w:r w:rsidRPr="000B0A41">
        <w:rPr>
          <w:rFonts w:ascii="Times New Roman" w:eastAsia="Times New Roman" w:hAnsi="Times New Roman" w:cs="Times New Roman"/>
          <w:b/>
          <w:szCs w:val="22"/>
        </w:rPr>
        <w:t>72% (including VAT) of the first month’s rent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302EF02" w14:textId="77777777" w:rsidR="00DB29F2" w:rsidRPr="000B0A41" w:rsidRDefault="00000000">
      <w:pPr>
        <w:spacing w:after="232"/>
        <w:jc w:val="right"/>
        <w:rPr>
          <w:szCs w:val="22"/>
        </w:rPr>
      </w:pPr>
      <w:r w:rsidRPr="000B0A41">
        <w:rPr>
          <w:noProof/>
          <w:szCs w:val="22"/>
        </w:rPr>
        <mc:AlternateContent>
          <mc:Choice Requires="wpg">
            <w:drawing>
              <wp:inline distT="0" distB="0" distL="0" distR="0" wp14:anchorId="7D000811" wp14:editId="054264A6">
                <wp:extent cx="6711696" cy="20447"/>
                <wp:effectExtent l="0" t="0" r="0" b="0"/>
                <wp:docPr id="1129" name="Group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6" cy="20447"/>
                          <a:chOff x="0" y="0"/>
                          <a:chExt cx="6711696" cy="20447"/>
                        </a:xfrm>
                      </wpg:grpSpPr>
                      <wps:wsp>
                        <wps:cNvPr id="1415" name="Shape 1415"/>
                        <wps:cNvSpPr/>
                        <wps:spPr>
                          <a:xfrm>
                            <a:off x="0" y="0"/>
                            <a:ext cx="67100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045" h="19685">
                                <a:moveTo>
                                  <a:pt x="0" y="0"/>
                                </a:moveTo>
                                <a:lnTo>
                                  <a:pt x="6710045" y="0"/>
                                </a:lnTo>
                                <a:lnTo>
                                  <a:pt x="671004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048" y="634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708648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6708648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048" y="17399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6708648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9" style="width:528.48pt;height:1.60999pt;mso-position-horizontal-relative:char;mso-position-vertical-relative:line" coordsize="67116,204">
                <v:shape id="Shape 1424" style="position:absolute;width:67100;height:196;left:0;top:0;" coordsize="6710045,19685" path="m0,0l6710045,0l6710045,19685l0,19685l0,0">
                  <v:stroke weight="0pt" endcap="flat" joinstyle="miter" miterlimit="10" on="false" color="#000000" opacity="0"/>
                  <v:fill on="true" color="#a0a0a0"/>
                </v:shape>
                <v:shape id="Shape 1425" style="position:absolute;width:91;height:91;left:0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26" style="position:absolute;width:67056;height:91;left:30;top:6;" coordsize="6705600,9144" path="m0,0l6705600,0l6705600,9144l0,9144l0,0">
                  <v:stroke weight="0pt" endcap="flat" joinstyle="miter" miterlimit="10" on="false" color="#000000" opacity="0"/>
                  <v:fill on="true" color="#a0a0a0"/>
                </v:shape>
                <v:shape id="Shape 1427" style="position:absolute;width:91;height:91;left:67086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28" style="position:absolute;width:91;height:137;left:0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429" style="position:absolute;width:91;height:137;left:67086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430" style="position:absolute;width:91;height:91;left:0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431" style="position:absolute;width:67056;height:91;left:30;top:173;" coordsize="6705600,9144" path="m0,0l6705600,0l6705600,9144l0,9144l0,0">
                  <v:stroke weight="0pt" endcap="flat" joinstyle="miter" miterlimit="10" on="false" color="#000000" opacity="0"/>
                  <v:fill on="true" color="#e3e3e3"/>
                </v:shape>
                <v:shape id="Shape 1432" style="position:absolute;width:91;height:91;left:67086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297E290" w14:textId="77777777" w:rsidR="00DB29F2" w:rsidRPr="000B0A41" w:rsidRDefault="00000000">
      <w:pPr>
        <w:pStyle w:val="Heading1"/>
        <w:ind w:left="-5"/>
        <w:rPr>
          <w:sz w:val="22"/>
          <w:szCs w:val="22"/>
        </w:rPr>
      </w:pPr>
      <w:r w:rsidRPr="000B0A41">
        <w:rPr>
          <w:sz w:val="22"/>
          <w:szCs w:val="22"/>
        </w:rPr>
        <w:t xml:space="preserve">Additional Services </w:t>
      </w:r>
    </w:p>
    <w:p w14:paraId="57DB890D" w14:textId="77777777" w:rsidR="00DB29F2" w:rsidRPr="000B0A41" w:rsidRDefault="00000000">
      <w:pPr>
        <w:numPr>
          <w:ilvl w:val="0"/>
          <w:numId w:val="4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Serving Legal Notices:</w:t>
      </w:r>
      <w:r w:rsidRPr="000B0A41">
        <w:rPr>
          <w:rFonts w:ascii="Times New Roman" w:eastAsia="Times New Roman" w:hAnsi="Times New Roman" w:cs="Times New Roman"/>
          <w:szCs w:val="22"/>
        </w:rPr>
        <w:t xml:space="preserve"> £180 (including VAT) </w:t>
      </w:r>
    </w:p>
    <w:p w14:paraId="1C25904A" w14:textId="77777777" w:rsidR="00DB29F2" w:rsidRPr="000B0A41" w:rsidRDefault="00000000">
      <w:pPr>
        <w:numPr>
          <w:ilvl w:val="0"/>
          <w:numId w:val="4"/>
        </w:numPr>
        <w:spacing w:after="0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Surveyor Visits:</w:t>
      </w:r>
      <w:r w:rsidRPr="000B0A41">
        <w:rPr>
          <w:rFonts w:ascii="Times New Roman" w:eastAsia="Times New Roman" w:hAnsi="Times New Roman" w:cs="Times New Roman"/>
          <w:szCs w:val="22"/>
        </w:rPr>
        <w:t xml:space="preserve"> £72 (including VAT) </w:t>
      </w:r>
    </w:p>
    <w:p w14:paraId="28A401D8" w14:textId="5E406884" w:rsidR="004F3B3A" w:rsidRPr="000B0A41" w:rsidRDefault="00000000" w:rsidP="004F3B3A">
      <w:pPr>
        <w:numPr>
          <w:ilvl w:val="0"/>
          <w:numId w:val="4"/>
        </w:numPr>
        <w:spacing w:after="317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Annual statements for your accounts</w:t>
      </w:r>
      <w:r w:rsidRPr="000B0A41">
        <w:rPr>
          <w:rFonts w:ascii="Times New Roman" w:eastAsia="Times New Roman" w:hAnsi="Times New Roman" w:cs="Times New Roman"/>
          <w:szCs w:val="22"/>
        </w:rPr>
        <w:t xml:space="preserve">: £120 (including VAT)  </w:t>
      </w:r>
    </w:p>
    <w:p w14:paraId="597B8FD1" w14:textId="3583D48E" w:rsidR="004F3B3A" w:rsidRPr="000B0A41" w:rsidRDefault="004F3B3A" w:rsidP="004F3B3A">
      <w:pPr>
        <w:pStyle w:val="Heading1"/>
        <w:ind w:left="-5"/>
        <w:rPr>
          <w:sz w:val="22"/>
          <w:szCs w:val="22"/>
        </w:rPr>
      </w:pPr>
      <w:r w:rsidRPr="000B0A41">
        <w:rPr>
          <w:sz w:val="22"/>
          <w:szCs w:val="22"/>
        </w:rPr>
        <w:t>Late payments</w:t>
      </w:r>
    </w:p>
    <w:p w14:paraId="3D2F670E" w14:textId="33DE5D32" w:rsidR="004F3B3A" w:rsidRPr="000B0A41" w:rsidRDefault="004F3B3A" w:rsidP="004F3B3A">
      <w:pPr>
        <w:spacing w:after="322"/>
        <w:rPr>
          <w:szCs w:val="22"/>
        </w:rPr>
      </w:pPr>
      <w:r w:rsidRPr="000B0A41">
        <w:rPr>
          <w:szCs w:val="22"/>
        </w:rPr>
        <w:t xml:space="preserve">Late payments outstanding after 10 days will accrue interest at </w:t>
      </w:r>
      <w:r w:rsidRPr="000B0A41">
        <w:rPr>
          <w:rFonts w:ascii="Arial" w:eastAsia="Arial" w:hAnsi="Arial" w:cs="Arial"/>
          <w:b/>
          <w:szCs w:val="22"/>
        </w:rPr>
        <w:t>3% above the Bank of England base rate</w:t>
      </w:r>
      <w:r w:rsidRPr="000B0A41">
        <w:rPr>
          <w:szCs w:val="22"/>
        </w:rPr>
        <w:t>.</w:t>
      </w:r>
    </w:p>
    <w:p w14:paraId="438E1ECC" w14:textId="77777777" w:rsidR="00DB29F2" w:rsidRPr="000B0A41" w:rsidRDefault="00000000">
      <w:pPr>
        <w:spacing w:after="316"/>
        <w:jc w:val="right"/>
        <w:rPr>
          <w:szCs w:val="22"/>
        </w:rPr>
      </w:pPr>
      <w:r w:rsidRPr="000B0A41">
        <w:rPr>
          <w:noProof/>
          <w:szCs w:val="22"/>
        </w:rPr>
        <mc:AlternateContent>
          <mc:Choice Requires="wpg">
            <w:drawing>
              <wp:inline distT="0" distB="0" distL="0" distR="0" wp14:anchorId="5F1BDA24" wp14:editId="4A8C8CDD">
                <wp:extent cx="6711696" cy="21210"/>
                <wp:effectExtent l="0" t="0" r="0" b="0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6" cy="21210"/>
                          <a:chOff x="0" y="0"/>
                          <a:chExt cx="6711696" cy="21210"/>
                        </a:xfrm>
                      </wpg:grpSpPr>
                      <wps:wsp>
                        <wps:cNvPr id="1433" name="Shape 1433"/>
                        <wps:cNvSpPr/>
                        <wps:spPr>
                          <a:xfrm>
                            <a:off x="0" y="0"/>
                            <a:ext cx="6710045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045" h="19686">
                                <a:moveTo>
                                  <a:pt x="0" y="0"/>
                                </a:moveTo>
                                <a:lnTo>
                                  <a:pt x="6710045" y="0"/>
                                </a:lnTo>
                                <a:lnTo>
                                  <a:pt x="6710045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0" y="1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048" y="1398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708648" y="1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0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708648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0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048" y="18161"/>
                            <a:ext cx="6705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9144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708648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" style="width:528.48pt;height:1.67004pt;mso-position-horizontal-relative:char;mso-position-vertical-relative:line" coordsize="67116,212">
                <v:shape id="Shape 1442" style="position:absolute;width:67100;height:196;left:0;top:0;" coordsize="6710045,19686" path="m0,0l6710045,0l6710045,19686l0,19686l0,0">
                  <v:stroke weight="0pt" endcap="flat" joinstyle="miter" miterlimit="10" on="false" color="#000000" opacity="0"/>
                  <v:fill on="true" color="#a0a0a0"/>
                </v:shape>
                <v:shape id="Shape 1443" style="position:absolute;width:91;height:91;left:0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44" style="position:absolute;width:67056;height:91;left:30;top:13;" coordsize="6705600,9144" path="m0,0l6705600,0l6705600,9144l0,9144l0,0">
                  <v:stroke weight="0pt" endcap="flat" joinstyle="miter" miterlimit="10" on="false" color="#000000" opacity="0"/>
                  <v:fill on="true" color="#a0a0a0"/>
                </v:shape>
                <v:shape id="Shape 1445" style="position:absolute;width:91;height:91;left:67086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46" style="position:absolute;width:91;height:137;left:0;top:4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447" style="position:absolute;width:91;height:137;left:67086;top:4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448" style="position:absolute;width:91;height:91;left:0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449" style="position:absolute;width:67056;height:91;left:30;top:181;" coordsize="6705600,9144" path="m0,0l6705600,0l6705600,9144l0,9144l0,0">
                  <v:stroke weight="0pt" endcap="flat" joinstyle="miter" miterlimit="10" on="false" color="#000000" opacity="0"/>
                  <v:fill on="true" color="#e3e3e3"/>
                </v:shape>
                <v:shape id="Shape 1450" style="position:absolute;width:91;height:91;left:67086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E403FF7" w14:textId="77777777" w:rsidR="00DB29F2" w:rsidRPr="000B0A41" w:rsidRDefault="00000000">
      <w:pPr>
        <w:pStyle w:val="Heading1"/>
        <w:spacing w:after="132"/>
        <w:ind w:left="0" w:firstLine="0"/>
        <w:rPr>
          <w:sz w:val="22"/>
          <w:szCs w:val="22"/>
        </w:rPr>
      </w:pPr>
      <w:r w:rsidRPr="000B0A41">
        <w:rPr>
          <w:sz w:val="22"/>
          <w:szCs w:val="22"/>
        </w:rPr>
        <w:t xml:space="preserve">Client Money Protection &amp; Redress Scheme </w:t>
      </w:r>
    </w:p>
    <w:p w14:paraId="41E2C7FD" w14:textId="00F6E8B0" w:rsidR="00DB29F2" w:rsidRPr="000B0A41" w:rsidRDefault="00000000">
      <w:pPr>
        <w:spacing w:after="272" w:line="250" w:lineRule="auto"/>
        <w:ind w:left="10" w:hanging="10"/>
        <w:rPr>
          <w:szCs w:val="22"/>
        </w:rPr>
      </w:pPr>
      <w:r w:rsidRPr="000B0A41">
        <w:rPr>
          <w:rFonts w:ascii="Times New Roman" w:eastAsia="Times New Roman" w:hAnsi="Times New Roman" w:cs="Times New Roman"/>
          <w:szCs w:val="22"/>
        </w:rPr>
        <w:t xml:space="preserve">NEXA South Wales is a member of a </w:t>
      </w:r>
      <w:r w:rsidRPr="000B0A41">
        <w:rPr>
          <w:rFonts w:ascii="Times New Roman" w:eastAsia="Times New Roman" w:hAnsi="Times New Roman" w:cs="Times New Roman"/>
          <w:b/>
          <w:szCs w:val="22"/>
        </w:rPr>
        <w:t xml:space="preserve">Client Money Protection (CMP) </w:t>
      </w:r>
      <w:proofErr w:type="gramStart"/>
      <w:r w:rsidRPr="000B0A41">
        <w:rPr>
          <w:rFonts w:ascii="Times New Roman" w:eastAsia="Times New Roman" w:hAnsi="Times New Roman" w:cs="Times New Roman"/>
          <w:b/>
          <w:szCs w:val="22"/>
        </w:rPr>
        <w:t>Scheme</w:t>
      </w:r>
      <w:proofErr w:type="gramEnd"/>
      <w:r w:rsidRPr="000B0A41">
        <w:rPr>
          <w:rFonts w:ascii="Times New Roman" w:eastAsia="Times New Roman" w:hAnsi="Times New Roman" w:cs="Times New Roman"/>
          <w:szCs w:val="22"/>
        </w:rPr>
        <w:t xml:space="preserve"> and a </w:t>
      </w:r>
      <w:r w:rsidR="004F3B3A" w:rsidRPr="000B0A41">
        <w:rPr>
          <w:rFonts w:ascii="Times New Roman" w:eastAsia="Times New Roman" w:hAnsi="Times New Roman" w:cs="Times New Roman"/>
          <w:b/>
          <w:szCs w:val="22"/>
        </w:rPr>
        <w:t>Government approved</w:t>
      </w:r>
      <w:r w:rsidRPr="000B0A41">
        <w:rPr>
          <w:rFonts w:ascii="Times New Roman" w:eastAsia="Times New Roman" w:hAnsi="Times New Roman" w:cs="Times New Roman"/>
          <w:b/>
          <w:szCs w:val="22"/>
        </w:rPr>
        <w:t xml:space="preserve"> Redress Scheme</w:t>
      </w:r>
      <w:r w:rsidRPr="000B0A41">
        <w:rPr>
          <w:rFonts w:ascii="Times New Roman" w:eastAsia="Times New Roman" w:hAnsi="Times New Roman" w:cs="Times New Roman"/>
          <w:szCs w:val="22"/>
        </w:rPr>
        <w:t xml:space="preserve">, as required by law. </w:t>
      </w:r>
    </w:p>
    <w:p w14:paraId="341F05E9" w14:textId="77777777" w:rsidR="00DB29F2" w:rsidRPr="000B0A41" w:rsidRDefault="00000000">
      <w:pPr>
        <w:numPr>
          <w:ilvl w:val="0"/>
          <w:numId w:val="5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Client Money Protection Scheme:</w:t>
      </w:r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0B0A41">
        <w:rPr>
          <w:rFonts w:ascii="Times New Roman" w:eastAsia="Times New Roman" w:hAnsi="Times New Roman" w:cs="Times New Roman"/>
          <w:szCs w:val="22"/>
        </w:rPr>
        <w:t>Propertymark</w:t>
      </w:r>
      <w:proofErr w:type="spellEnd"/>
      <w:r w:rsidRPr="000B0A41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5327CAF" w14:textId="77777777" w:rsidR="00DB29F2" w:rsidRPr="000B0A41" w:rsidRDefault="00000000">
      <w:pPr>
        <w:numPr>
          <w:ilvl w:val="0"/>
          <w:numId w:val="5"/>
        </w:numPr>
        <w:spacing w:after="0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>Redress Scheme:</w:t>
      </w:r>
      <w:r w:rsidRPr="000B0A41">
        <w:rPr>
          <w:rFonts w:ascii="Times New Roman" w:eastAsia="Times New Roman" w:hAnsi="Times New Roman" w:cs="Times New Roman"/>
          <w:szCs w:val="22"/>
        </w:rPr>
        <w:t xml:space="preserve"> The Property Ombudsman / Property Redress Scheme </w:t>
      </w:r>
    </w:p>
    <w:p w14:paraId="1CE61287" w14:textId="77777777" w:rsidR="00DB29F2" w:rsidRPr="000B0A41" w:rsidRDefault="00000000">
      <w:pPr>
        <w:numPr>
          <w:ilvl w:val="0"/>
          <w:numId w:val="5"/>
        </w:numPr>
        <w:spacing w:after="12" w:line="250" w:lineRule="auto"/>
        <w:ind w:hanging="360"/>
        <w:rPr>
          <w:szCs w:val="22"/>
        </w:rPr>
      </w:pPr>
      <w:r w:rsidRPr="000B0A41">
        <w:rPr>
          <w:rFonts w:ascii="Times New Roman" w:eastAsia="Times New Roman" w:hAnsi="Times New Roman" w:cs="Times New Roman"/>
          <w:b/>
          <w:szCs w:val="22"/>
        </w:rPr>
        <w:t xml:space="preserve">Certificates are available on request. </w:t>
      </w:r>
    </w:p>
    <w:sectPr w:rsidR="00DB29F2" w:rsidRPr="000B0A41">
      <w:pgSz w:w="11899" w:h="16841"/>
      <w:pgMar w:top="420" w:right="55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665E" w14:textId="77777777" w:rsidR="004A5F89" w:rsidRDefault="004A5F89" w:rsidP="004F3B3A">
      <w:pPr>
        <w:spacing w:after="0" w:line="240" w:lineRule="auto"/>
      </w:pPr>
      <w:r>
        <w:separator/>
      </w:r>
    </w:p>
  </w:endnote>
  <w:endnote w:type="continuationSeparator" w:id="0">
    <w:p w14:paraId="70587C1E" w14:textId="77777777" w:rsidR="004A5F89" w:rsidRDefault="004A5F89" w:rsidP="004F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A60C" w14:textId="77777777" w:rsidR="004A5F89" w:rsidRDefault="004A5F89" w:rsidP="004F3B3A">
      <w:pPr>
        <w:spacing w:after="0" w:line="240" w:lineRule="auto"/>
      </w:pPr>
      <w:r>
        <w:separator/>
      </w:r>
    </w:p>
  </w:footnote>
  <w:footnote w:type="continuationSeparator" w:id="0">
    <w:p w14:paraId="61727B9F" w14:textId="77777777" w:rsidR="004A5F89" w:rsidRDefault="004A5F89" w:rsidP="004F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5CC"/>
    <w:multiLevelType w:val="hybridMultilevel"/>
    <w:tmpl w:val="981E3558"/>
    <w:lvl w:ilvl="0" w:tplc="C666C8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D646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67C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2C62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C28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8A38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885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A6F4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853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A2C07"/>
    <w:multiLevelType w:val="hybridMultilevel"/>
    <w:tmpl w:val="7E6678C2"/>
    <w:lvl w:ilvl="0" w:tplc="0E1486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22D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ED8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EB4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C19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21A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867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5EEE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8C77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C4241"/>
    <w:multiLevelType w:val="hybridMultilevel"/>
    <w:tmpl w:val="CF8A80BA"/>
    <w:lvl w:ilvl="0" w:tplc="FA529D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620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210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60E2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E3B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0DE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0FD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7475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862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A0B57"/>
    <w:multiLevelType w:val="hybridMultilevel"/>
    <w:tmpl w:val="D0340A54"/>
    <w:lvl w:ilvl="0" w:tplc="B05C6C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7EDC"/>
    <w:multiLevelType w:val="hybridMultilevel"/>
    <w:tmpl w:val="3FF4D946"/>
    <w:lvl w:ilvl="0" w:tplc="0EF633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04A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C6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287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76FF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92C9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0B2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6A3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520F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BD4651"/>
    <w:multiLevelType w:val="hybridMultilevel"/>
    <w:tmpl w:val="8676F7A0"/>
    <w:lvl w:ilvl="0" w:tplc="4F04B3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76D0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C48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681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5049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B896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052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C6A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092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290416">
    <w:abstractNumId w:val="4"/>
  </w:num>
  <w:num w:numId="2" w16cid:durableId="1085415353">
    <w:abstractNumId w:val="5"/>
  </w:num>
  <w:num w:numId="3" w16cid:durableId="723941806">
    <w:abstractNumId w:val="0"/>
  </w:num>
  <w:num w:numId="4" w16cid:durableId="1824809533">
    <w:abstractNumId w:val="2"/>
  </w:num>
  <w:num w:numId="5" w16cid:durableId="1103771405">
    <w:abstractNumId w:val="1"/>
  </w:num>
  <w:num w:numId="6" w16cid:durableId="201537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F2"/>
    <w:rsid w:val="000B0A41"/>
    <w:rsid w:val="004A5F89"/>
    <w:rsid w:val="004F3B3A"/>
    <w:rsid w:val="009D35C3"/>
    <w:rsid w:val="00D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D830"/>
  <w15:docId w15:val="{7F9A1D26-7D14-439F-836D-DED5E929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4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  <w:style w:type="paragraph" w:styleId="Header">
    <w:name w:val="header"/>
    <w:basedOn w:val="Normal"/>
    <w:link w:val="HeaderChar"/>
    <w:uiPriority w:val="99"/>
    <w:unhideWhenUsed/>
    <w:rsid w:val="004F3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3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F3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B3A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F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LETER HEAD SW</dc:title>
  <dc:subject/>
  <dc:creator>Kayleigh Ashford</dc:creator>
  <cp:keywords/>
  <cp:lastModifiedBy>Claire Lewis</cp:lastModifiedBy>
  <cp:revision>2</cp:revision>
  <cp:lastPrinted>2026-05-20T14:51:00Z</cp:lastPrinted>
  <dcterms:created xsi:type="dcterms:W3CDTF">2026-05-20T14:55:00Z</dcterms:created>
  <dcterms:modified xsi:type="dcterms:W3CDTF">2026-05-20T14:55:00Z</dcterms:modified>
</cp:coreProperties>
</file>